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240" w:after="0"/>
        <w:rPr>
          <w:rFonts w:ascii="Cambria" w:hAnsi="Cambria"/>
        </w:rPr>
      </w:pPr>
      <w:r>
        <w:rPr>
          <w:rFonts w:ascii="Cambria" w:hAnsi="Cambria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670" w:leader="none"/>
        </w:tabs>
        <w:ind w:firstLine="426"/>
        <w:rPr>
          <w:rFonts w:ascii="Cambria" w:hAnsi="Cambria"/>
        </w:rPr>
      </w:pPr>
      <w:r>
        <mc:AlternateContent>
          <mc:Choice Requires="wps">
            <w:drawing>
              <wp:anchor behindDoc="1" distT="5080" distB="5080" distL="635" distR="0" simplePos="0" locked="0" layoutInCell="0" allowOverlap="1" relativeHeight="2">
                <wp:simplePos x="0" y="0"/>
                <wp:positionH relativeFrom="column">
                  <wp:posOffset>47625</wp:posOffset>
                </wp:positionH>
                <wp:positionV relativeFrom="paragraph">
                  <wp:posOffset>125730</wp:posOffset>
                </wp:positionV>
                <wp:extent cx="1828800" cy="635"/>
                <wp:effectExtent l="635" t="5080" r="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5pt,9.9pt" to="147.7pt,9.9pt" ID="Kształt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mbria" w:hAnsi="Cambria"/>
        </w:rPr>
        <w:tab/>
      </w:r>
    </w:p>
    <w:p>
      <w:pPr>
        <w:pStyle w:val="Normal"/>
        <w:spacing w:before="0" w:after="720"/>
        <w:ind w:right="-2" w:hanging="0"/>
        <w:rPr>
          <w:rFonts w:ascii="Cambria" w:hAnsi="Cambria"/>
        </w:rPr>
      </w:pPr>
      <w:r>
        <w:rPr>
          <w:rFonts w:ascii="Cambria" w:hAnsi="Cambria"/>
        </w:rPr>
        <w:t>(Dane adresowe Wykonawcy)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Samodzielny Publiczny Zespół Zakładów Opieki Zdrowotnej Szpital w Iłży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ul. Bodzentyńska 17 </w:t>
      </w:r>
    </w:p>
    <w:p>
      <w:pPr>
        <w:pStyle w:val="Normal"/>
        <w:ind w:left="5670" w:hanging="0"/>
        <w:rPr>
          <w:rFonts w:ascii="Cambria" w:hAnsi="Cambria"/>
        </w:rPr>
      </w:pPr>
      <w:bookmarkStart w:id="2" w:name="_Hlk22037410"/>
      <w:r>
        <w:rPr>
          <w:rFonts w:ascii="Cambria" w:hAnsi="Cambria"/>
          <w:b/>
        </w:rPr>
        <w:t>27-100 Iłża</w:t>
      </w:r>
      <w:bookmarkEnd w:id="2"/>
    </w:p>
    <w:p>
      <w:pPr>
        <w:pStyle w:val="Normal"/>
        <w:spacing w:before="720" w:after="72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FORMULARZ CENOWY</w:t>
      </w:r>
    </w:p>
    <w:p>
      <w:pPr>
        <w:pStyle w:val="Normal"/>
        <w:spacing w:before="0" w:after="240"/>
        <w:jc w:val="both"/>
        <w:rPr>
          <w:rFonts w:ascii="Cambria" w:hAnsi="Cambria" w:cs="Calibri"/>
          <w:b/>
          <w:b/>
        </w:rPr>
      </w:pPr>
      <w:r>
        <w:rPr>
          <w:rFonts w:cs="Calibri" w:ascii="Cambria" w:hAnsi="Cambria"/>
        </w:rPr>
        <w:t xml:space="preserve">Postępowanie o udzielenie zamówienia publicznego </w:t>
      </w:r>
      <w:r>
        <w:rPr>
          <w:rFonts w:ascii="Cambria" w:hAnsi="Cambria"/>
        </w:rPr>
        <w:t xml:space="preserve">w trybie podstawowym, zgodnie z art. 275 pkt 2 ustawy PZP na </w:t>
      </w:r>
      <w:r>
        <w:rPr>
          <w:rFonts w:ascii="Cambria" w:hAnsi="Cambria"/>
          <w:b/>
          <w:bCs/>
        </w:rPr>
        <w:t>„ZAKUP ENERGII ELEKTRYCZNEJ dla Samodzielnego Publicznego Zespołu Zakładów Opieki Zdrowotnej Szpital w Iłży”</w:t>
      </w:r>
      <w:r>
        <w:rPr>
          <w:rFonts w:ascii="Cambria" w:hAnsi="Cambria"/>
        </w:rPr>
        <w:t xml:space="preserve"> w okresie od 01.07.2024 r. do 31.12.2025 r.</w:t>
      </w:r>
    </w:p>
    <w:p>
      <w:pPr>
        <w:pStyle w:val="Normal"/>
        <w:spacing w:before="0" w:after="120"/>
        <w:rPr>
          <w:rFonts w:ascii="Cambria" w:hAnsi="Cambria"/>
          <w:b/>
          <w:b/>
        </w:rPr>
      </w:pPr>
      <w:r>
        <w:rPr>
          <w:rFonts w:ascii="Cambria" w:hAnsi="Cambria"/>
          <w:b/>
        </w:rPr>
        <w:t>Kalkulacja ceny jednostkowej obowiązującej od 01.07.2024 r. do 31.12.2025 r.</w:t>
      </w:r>
    </w:p>
    <w:tbl>
      <w:tblPr>
        <w:tblW w:w="9117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81"/>
        <w:gridCol w:w="1562"/>
        <w:gridCol w:w="1435"/>
        <w:gridCol w:w="1538"/>
      </w:tblGrid>
      <w:tr>
        <w:trPr>
          <w:trHeight w:val="540" w:hRule="atLeast"/>
        </w:trPr>
        <w:tc>
          <w:tcPr>
            <w:tcW w:w="911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 energii elektrycznej (Obrót)*</w:t>
            </w:r>
          </w:p>
        </w:tc>
      </w:tr>
      <w:tr>
        <w:trPr>
          <w:trHeight w:val="315" w:hRule="atLeast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 netto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Wartość VAT**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 brutto</w:t>
            </w:r>
          </w:p>
        </w:tc>
      </w:tr>
      <w:tr>
        <w:trPr>
          <w:trHeight w:val="645" w:hRule="atLeast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Cena za energię elektryczną czynną - całodobową </w:t>
              <w:br/>
              <w:t>w zł/kWh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645" w:hRule="atLeast"/>
        </w:trPr>
        <w:tc>
          <w:tcPr>
            <w:tcW w:w="4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</w:rPr>
              <w:t>Jednostkowa miesięczna opłata handlowa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zł/m-c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before="720"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* Cena powinna być podana w formacie 0,0000 zł. tj. z dokładnością do czterech miejsc po przecinku. </w:t>
      </w:r>
    </w:p>
    <w:p>
      <w:pPr>
        <w:pStyle w:val="Normal"/>
        <w:spacing w:before="0" w:after="72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** Podatek VAT powinien zostać wyliczony zgodnie z obowiązującymi w dniu składania oferty przepisami prawa.</w:t>
      </w:r>
    </w:p>
    <w:p>
      <w:pPr>
        <w:pStyle w:val="Normal"/>
        <w:tabs>
          <w:tab w:val="clear" w:pos="708"/>
          <w:tab w:val="left" w:pos="3420" w:leader="none"/>
        </w:tabs>
        <w:spacing w:before="720" w:after="0"/>
        <w:ind w:left="2829" w:hanging="2829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5102"/>
      </w:tblGrid>
      <w:tr>
        <w:trPr>
          <w:trHeight w:val="241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mc:AlternateContent>
                <mc:Choice Requires="wps">
                  <w:drawing>
                    <wp:anchor behindDoc="0" distT="0" distB="0" distL="114300" distR="109855" simplePos="0" locked="0" layoutInCell="1" allowOverlap="1" relativeHeight="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137795</wp:posOffset>
                      </wp:positionV>
                      <wp:extent cx="1828800" cy="635"/>
                      <wp:effectExtent l="0" t="5080" r="0" b="5080"/>
                      <wp:wrapSquare wrapText="bothSides"/>
                      <wp:docPr id="2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8.85pt,10.85pt" to="182.8pt,10.85pt" ID="Kształt2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137795</wp:posOffset>
                      </wp:positionV>
                      <wp:extent cx="2520315" cy="635"/>
                      <wp:effectExtent l="0" t="5080" r="635" b="5080"/>
                      <wp:wrapSquare wrapText="bothSides"/>
                      <wp:docPr id="3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.85pt,10.85pt" to="216.25pt,10.85pt" ID="Kształt3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  <w:tr>
        <w:trPr>
          <w:trHeight w:val="932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Miejscowość, data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317" w:right="601" w:hang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Podpis Wykonawcy</w:t>
            </w:r>
          </w:p>
        </w:tc>
      </w:tr>
    </w:tbl>
    <w:p>
      <w:pPr>
        <w:pStyle w:val="Normal"/>
        <w:rPr>
          <w:rFonts w:ascii="Cambria" w:hAnsi="Cambria"/>
        </w:rPr>
      </w:pPr>
      <w:r>
        <w:rPr/>
      </w:r>
    </w:p>
    <w:sectPr>
      <w:headerReference w:type="first" r:id="rId2"/>
      <w:footerReference w:type="first" r:id="rId3"/>
      <w:type w:val="nextPage"/>
      <w:pgSz w:w="11906" w:h="16838"/>
      <w:pgMar w:left="1418" w:right="1418" w:gutter="0" w:header="709" w:top="1134" w:footer="709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color w:val="1F497D"/>
        <w:sz w:val="18"/>
      </w:rPr>
    </w:pPr>
    <w:r>
      <w:rPr>
        <w:color w:val="1F497D"/>
        <w:sz w:val="18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  <w:color w:val="4F81BD"/>
      </w:rPr>
    </w:pPr>
    <w:r>
      <w:rPr>
        <w:rFonts w:ascii="Cambria" w:hAnsi="Cambria"/>
        <w:color w:val="4F81BD"/>
        <w:lang w:val="pl-PL"/>
      </w:rPr>
      <w:t>DZP-05-2024</w:t>
      <w:tab/>
      <w:tab/>
    </w:r>
    <w:r>
      <w:rPr>
        <w:rFonts w:ascii="Cambria" w:hAnsi="Cambria"/>
        <w:color w:val="4F81BD"/>
      </w:rPr>
      <w:t>Załącznik nr 3 do SWZ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uiPriority w:val="99"/>
    <w:qFormat/>
    <w:rsid w:val="0011117f"/>
    <w:rPr>
      <w:rFonts w:ascii="Arial" w:hAnsi="Arial" w:cs="Arial"/>
      <w:sz w:val="22"/>
      <w:szCs w:val="22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11117f"/>
    <w:rPr>
      <w:rFonts w:ascii="Tahoma" w:hAnsi="Tahoma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1117f"/>
    <w:pPr/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3354d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135</Words>
  <Characters>807</Characters>
  <CharactersWithSpaces>929</CharactersWithSpaces>
  <Paragraphs>21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2022-02-03T13:59:00Z</dcterms:created>
  <dc:creator>Hubert Wasila</dc:creator>
  <dc:description>Zał. nr 3 do SIWZ, do przetargu na zakup energii elektrycznej, opracowany przez Telekomunikację 7line Sp. z o.o.</dc:description>
  <dc:language>pl-PL</dc:language>
  <cp:lastModifiedBy/>
  <cp:lastPrinted>2018-10-11T06:52:00Z</cp:lastPrinted>
  <dcterms:modified xsi:type="dcterms:W3CDTF">2024-02-23T10:46:17Z</dcterms:modified>
  <cp:revision>6</cp:revision>
  <dc:subject>Przetarg na zakup energii elektrycznej</dc:subject>
  <dc:title>Załącznik nr 3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